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9B" w:rsidRDefault="0097359B" w:rsidP="00541C49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draft Gulf Resource Operations Plan and the draft Mitchell Resource Operations Plan were released for public submissions </w:t>
      </w:r>
      <w:r w:rsidR="00EE3C41">
        <w:rPr>
          <w:rFonts w:ascii="Arial" w:hAnsi="Arial" w:cs="Arial"/>
          <w:bCs/>
          <w:spacing w:val="-3"/>
          <w:sz w:val="22"/>
          <w:szCs w:val="22"/>
        </w:rPr>
        <w:t>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October 2008. </w:t>
      </w:r>
    </w:p>
    <w:p w:rsidR="0097359B" w:rsidRPr="00A66A85" w:rsidRDefault="0097359B" w:rsidP="0097359B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Key </w:t>
      </w:r>
      <w:r w:rsidRPr="00A66A85">
        <w:rPr>
          <w:rFonts w:ascii="Arial" w:hAnsi="Arial" w:cs="Arial"/>
          <w:bCs/>
          <w:spacing w:val="-3"/>
          <w:sz w:val="22"/>
          <w:szCs w:val="22"/>
        </w:rPr>
        <w:t>provisions of the final plan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A66A85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97359B" w:rsidRPr="00A66A85" w:rsidRDefault="0097359B" w:rsidP="0097359B">
      <w:pPr>
        <w:jc w:val="both"/>
        <w:rPr>
          <w:rFonts w:ascii="Arial" w:hAnsi="Arial" w:cs="Arial"/>
          <w:sz w:val="22"/>
          <w:szCs w:val="22"/>
        </w:rPr>
      </w:pPr>
    </w:p>
    <w:p w:rsidR="0097359B" w:rsidRPr="00A66A85" w:rsidRDefault="0097359B" w:rsidP="009735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66A85">
        <w:rPr>
          <w:rFonts w:ascii="Arial" w:hAnsi="Arial" w:cs="Arial"/>
          <w:sz w:val="22"/>
          <w:szCs w:val="22"/>
        </w:rPr>
        <w:t>etail</w:t>
      </w:r>
      <w:r>
        <w:rPr>
          <w:rFonts w:ascii="Arial" w:hAnsi="Arial" w:cs="Arial"/>
          <w:sz w:val="22"/>
          <w:szCs w:val="22"/>
        </w:rPr>
        <w:t xml:space="preserve"> </w:t>
      </w:r>
      <w:r w:rsidRPr="00A66A85">
        <w:rPr>
          <w:rFonts w:ascii="Arial" w:hAnsi="Arial" w:cs="Arial"/>
          <w:sz w:val="22"/>
          <w:szCs w:val="22"/>
        </w:rPr>
        <w:t>rules for the conversion to, and granting of, water entitlements to tradable water allocations</w:t>
      </w:r>
      <w:r>
        <w:rPr>
          <w:rFonts w:ascii="Arial" w:hAnsi="Arial" w:cs="Arial"/>
          <w:sz w:val="22"/>
          <w:szCs w:val="22"/>
        </w:rPr>
        <w:t xml:space="preserve"> 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Mount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Isa</w:t>
          </w:r>
        </w:smartTag>
      </w:smartTag>
      <w:r>
        <w:rPr>
          <w:rFonts w:ascii="Arial" w:hAnsi="Arial" w:cs="Arial"/>
          <w:sz w:val="22"/>
          <w:szCs w:val="22"/>
        </w:rPr>
        <w:t xml:space="preserve"> water supply scheme areas</w:t>
      </w:r>
      <w:r w:rsidRPr="00A66A85">
        <w:rPr>
          <w:rFonts w:ascii="Arial" w:hAnsi="Arial" w:cs="Arial"/>
          <w:sz w:val="22"/>
          <w:szCs w:val="22"/>
        </w:rPr>
        <w:t>;</w:t>
      </w:r>
    </w:p>
    <w:p w:rsidR="0097359B" w:rsidRPr="00A66A85" w:rsidRDefault="00B669D9" w:rsidP="009735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  <w:r w:rsidR="0097359B" w:rsidRPr="00A66A85">
        <w:rPr>
          <w:rFonts w:ascii="Arial" w:hAnsi="Arial" w:cs="Arial"/>
          <w:sz w:val="22"/>
          <w:szCs w:val="22"/>
        </w:rPr>
        <w:t xml:space="preserve"> out a process for dealing with </w:t>
      </w:r>
      <w:r w:rsidR="0097359B">
        <w:rPr>
          <w:rFonts w:ascii="Arial" w:hAnsi="Arial" w:cs="Arial"/>
          <w:sz w:val="22"/>
          <w:szCs w:val="22"/>
        </w:rPr>
        <w:t>178</w:t>
      </w:r>
      <w:r w:rsidR="0097359B" w:rsidRPr="00A66A85">
        <w:rPr>
          <w:rFonts w:ascii="Arial" w:hAnsi="Arial" w:cs="Arial"/>
          <w:sz w:val="22"/>
          <w:szCs w:val="22"/>
        </w:rPr>
        <w:t xml:space="preserve"> </w:t>
      </w:r>
      <w:r w:rsidR="0097359B">
        <w:rPr>
          <w:rFonts w:ascii="Arial" w:hAnsi="Arial" w:cs="Arial"/>
          <w:sz w:val="22"/>
          <w:szCs w:val="22"/>
        </w:rPr>
        <w:t>9</w:t>
      </w:r>
      <w:r w:rsidR="0097359B" w:rsidRPr="00A66A85">
        <w:rPr>
          <w:rFonts w:ascii="Arial" w:hAnsi="Arial" w:cs="Arial"/>
          <w:sz w:val="22"/>
          <w:szCs w:val="22"/>
        </w:rPr>
        <w:t>00 megalitres of unallocated water</w:t>
      </w:r>
      <w:r w:rsidR="0097359B">
        <w:rPr>
          <w:rFonts w:ascii="Arial" w:hAnsi="Arial" w:cs="Arial"/>
          <w:sz w:val="22"/>
          <w:szCs w:val="22"/>
        </w:rPr>
        <w:t xml:space="preserve"> in the Gulf plan area and 70 000 megalitres of unallocated water in the Mitchell plan area</w:t>
      </w:r>
      <w:r w:rsidR="0097359B" w:rsidRPr="00A66A85">
        <w:rPr>
          <w:rFonts w:ascii="Arial" w:hAnsi="Arial" w:cs="Arial"/>
          <w:sz w:val="22"/>
          <w:szCs w:val="22"/>
        </w:rPr>
        <w:t>;</w:t>
      </w:r>
    </w:p>
    <w:p w:rsidR="0097359B" w:rsidRPr="00A66A85" w:rsidRDefault="00B669D9" w:rsidP="009735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97359B" w:rsidRPr="00A66A85">
        <w:rPr>
          <w:rFonts w:ascii="Arial" w:hAnsi="Arial" w:cs="Arial"/>
          <w:sz w:val="22"/>
          <w:szCs w:val="22"/>
        </w:rPr>
        <w:t xml:space="preserve"> for resource operations licences to be granted to SunWater </w:t>
      </w:r>
      <w:r w:rsidR="0097359B">
        <w:rPr>
          <w:rFonts w:ascii="Arial" w:hAnsi="Arial" w:cs="Arial"/>
          <w:sz w:val="22"/>
          <w:szCs w:val="22"/>
        </w:rPr>
        <w:t xml:space="preserve">and Mount Isa Mines Limited </w:t>
      </w:r>
      <w:r w:rsidR="0097359B" w:rsidRPr="00A66A85">
        <w:rPr>
          <w:rFonts w:ascii="Arial" w:hAnsi="Arial" w:cs="Arial"/>
          <w:sz w:val="22"/>
          <w:szCs w:val="22"/>
        </w:rPr>
        <w:t xml:space="preserve">to operate infrastructure and manage water allocations in the </w:t>
      </w:r>
      <w:smartTag w:uri="urn:schemas-microsoft-com:office:smarttags" w:element="PlaceType">
        <w:r w:rsidR="0097359B">
          <w:rPr>
            <w:rFonts w:ascii="Arial" w:hAnsi="Arial" w:cs="Arial"/>
            <w:sz w:val="22"/>
            <w:szCs w:val="22"/>
          </w:rPr>
          <w:t>Lake</w:t>
        </w:r>
      </w:smartTag>
      <w:r w:rsidR="0097359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="0097359B">
          <w:rPr>
            <w:rFonts w:ascii="Arial" w:hAnsi="Arial" w:cs="Arial"/>
            <w:sz w:val="22"/>
            <w:szCs w:val="22"/>
          </w:rPr>
          <w:t>Julius</w:t>
        </w:r>
      </w:smartTag>
      <w:r w:rsidR="0097359B">
        <w:rPr>
          <w:rFonts w:ascii="Arial" w:hAnsi="Arial" w:cs="Arial"/>
          <w:sz w:val="22"/>
          <w:szCs w:val="22"/>
        </w:rPr>
        <w:t xml:space="preserve"> </w:t>
      </w:r>
      <w:r w:rsidR="0097359B" w:rsidRPr="00A66A85">
        <w:rPr>
          <w:rFonts w:ascii="Arial" w:hAnsi="Arial" w:cs="Arial"/>
          <w:sz w:val="22"/>
          <w:szCs w:val="22"/>
        </w:rPr>
        <w:t xml:space="preserve">and the </w:t>
      </w:r>
      <w:smartTag w:uri="urn:schemas-microsoft-com:office:smarttags" w:element="place">
        <w:smartTag w:uri="urn:schemas-microsoft-com:office:smarttags" w:element="PlaceType">
          <w:r w:rsidR="0097359B">
            <w:rPr>
              <w:rFonts w:ascii="Arial" w:hAnsi="Arial" w:cs="Arial"/>
              <w:sz w:val="22"/>
              <w:szCs w:val="22"/>
            </w:rPr>
            <w:t>Lake</w:t>
          </w:r>
        </w:smartTag>
        <w:r w:rsidR="0097359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97359B">
            <w:rPr>
              <w:rFonts w:ascii="Arial" w:hAnsi="Arial" w:cs="Arial"/>
              <w:sz w:val="22"/>
              <w:szCs w:val="22"/>
            </w:rPr>
            <w:t>Moondarra</w:t>
          </w:r>
        </w:smartTag>
      </w:smartTag>
      <w:r w:rsidR="0097359B" w:rsidRPr="00A66A85">
        <w:rPr>
          <w:rFonts w:ascii="Arial" w:hAnsi="Arial" w:cs="Arial"/>
          <w:sz w:val="22"/>
          <w:szCs w:val="22"/>
        </w:rPr>
        <w:t xml:space="preserve"> water supply scheme areas;</w:t>
      </w:r>
    </w:p>
    <w:p w:rsidR="0097359B" w:rsidRPr="00A66A85" w:rsidRDefault="00B669D9" w:rsidP="009735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97359B" w:rsidRPr="00A66A85">
        <w:rPr>
          <w:rFonts w:ascii="Arial" w:hAnsi="Arial" w:cs="Arial"/>
          <w:sz w:val="22"/>
          <w:szCs w:val="22"/>
        </w:rPr>
        <w:t xml:space="preserve"> for a distribution operations licence to be granted </w:t>
      </w:r>
      <w:r w:rsidR="0097359B">
        <w:rPr>
          <w:rFonts w:ascii="Arial" w:hAnsi="Arial" w:cs="Arial"/>
          <w:sz w:val="22"/>
          <w:szCs w:val="22"/>
        </w:rPr>
        <w:t>t</w:t>
      </w:r>
      <w:r w:rsidR="0097359B" w:rsidRPr="00A66A85">
        <w:rPr>
          <w:rFonts w:ascii="Arial" w:hAnsi="Arial" w:cs="Arial"/>
          <w:sz w:val="22"/>
          <w:szCs w:val="22"/>
        </w:rPr>
        <w:t xml:space="preserve">o the </w:t>
      </w:r>
      <w:r w:rsidR="0097359B">
        <w:rPr>
          <w:rFonts w:ascii="Arial" w:hAnsi="Arial" w:cs="Arial"/>
          <w:sz w:val="22"/>
          <w:szCs w:val="22"/>
        </w:rPr>
        <w:t>Mount Isa Water Board</w:t>
      </w:r>
      <w:r w:rsidR="0097359B" w:rsidRPr="00A66A85">
        <w:rPr>
          <w:rFonts w:ascii="Arial" w:hAnsi="Arial" w:cs="Arial"/>
          <w:sz w:val="22"/>
          <w:szCs w:val="22"/>
        </w:rPr>
        <w:t xml:space="preserve"> to formalise their role in </w:t>
      </w:r>
      <w:r w:rsidR="0097359B">
        <w:rPr>
          <w:rFonts w:ascii="Arial" w:hAnsi="Arial" w:cs="Arial"/>
          <w:sz w:val="22"/>
          <w:szCs w:val="22"/>
        </w:rPr>
        <w:t xml:space="preserve">supplying and </w:t>
      </w:r>
      <w:r w:rsidR="0097359B" w:rsidRPr="00A66A85">
        <w:rPr>
          <w:rFonts w:ascii="Arial" w:hAnsi="Arial" w:cs="Arial"/>
          <w:sz w:val="22"/>
          <w:szCs w:val="22"/>
        </w:rPr>
        <w:t xml:space="preserve">distributing water </w:t>
      </w:r>
      <w:r w:rsidR="0097359B">
        <w:rPr>
          <w:rFonts w:ascii="Arial" w:hAnsi="Arial" w:cs="Arial"/>
          <w:sz w:val="22"/>
          <w:szCs w:val="22"/>
        </w:rPr>
        <w:t xml:space="preserve">to customers of the </w:t>
      </w:r>
      <w:smartTag w:uri="urn:schemas-microsoft-com:office:smarttags" w:element="PlaceType">
        <w:r w:rsidR="0097359B">
          <w:rPr>
            <w:rFonts w:ascii="Arial" w:hAnsi="Arial" w:cs="Arial"/>
            <w:sz w:val="22"/>
            <w:szCs w:val="22"/>
          </w:rPr>
          <w:t>Lake</w:t>
        </w:r>
      </w:smartTag>
      <w:r w:rsidR="0097359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="0097359B">
          <w:rPr>
            <w:rFonts w:ascii="Arial" w:hAnsi="Arial" w:cs="Arial"/>
            <w:sz w:val="22"/>
            <w:szCs w:val="22"/>
          </w:rPr>
          <w:t>Julius</w:t>
        </w:r>
      </w:smartTag>
      <w:r w:rsidR="0097359B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Type">
          <w:r w:rsidR="0097359B">
            <w:rPr>
              <w:rFonts w:ascii="Arial" w:hAnsi="Arial" w:cs="Arial"/>
              <w:sz w:val="22"/>
              <w:szCs w:val="22"/>
            </w:rPr>
            <w:t>Lake</w:t>
          </w:r>
        </w:smartTag>
        <w:r w:rsidR="0097359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97359B">
            <w:rPr>
              <w:rFonts w:ascii="Arial" w:hAnsi="Arial" w:cs="Arial"/>
              <w:sz w:val="22"/>
              <w:szCs w:val="22"/>
            </w:rPr>
            <w:t>Moondarra</w:t>
          </w:r>
        </w:smartTag>
      </w:smartTag>
      <w:r w:rsidR="0097359B">
        <w:rPr>
          <w:rFonts w:ascii="Arial" w:hAnsi="Arial" w:cs="Arial"/>
          <w:sz w:val="22"/>
          <w:szCs w:val="22"/>
        </w:rPr>
        <w:t xml:space="preserve"> water supply schemes</w:t>
      </w:r>
      <w:r w:rsidR="0097359B" w:rsidRPr="00A66A85">
        <w:rPr>
          <w:rFonts w:ascii="Arial" w:hAnsi="Arial" w:cs="Arial"/>
          <w:sz w:val="22"/>
          <w:szCs w:val="22"/>
        </w:rPr>
        <w:t xml:space="preserve">; </w:t>
      </w:r>
    </w:p>
    <w:p w:rsidR="0097359B" w:rsidRPr="00A66A85" w:rsidRDefault="00B669D9" w:rsidP="009735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</w:t>
      </w:r>
      <w:r w:rsidR="0097359B" w:rsidRPr="00A66A85">
        <w:rPr>
          <w:rFonts w:ascii="Arial" w:hAnsi="Arial" w:cs="Arial"/>
          <w:sz w:val="22"/>
          <w:szCs w:val="22"/>
        </w:rPr>
        <w:t xml:space="preserve"> the operating and environmental management rules, water sharing rules, water </w:t>
      </w:r>
      <w:r w:rsidR="0097359B">
        <w:rPr>
          <w:rFonts w:ascii="Arial" w:hAnsi="Arial" w:cs="Arial"/>
          <w:sz w:val="22"/>
          <w:szCs w:val="22"/>
        </w:rPr>
        <w:t xml:space="preserve">trading </w:t>
      </w:r>
      <w:r w:rsidR="0097359B" w:rsidRPr="00A66A85">
        <w:rPr>
          <w:rFonts w:ascii="Arial" w:hAnsi="Arial" w:cs="Arial"/>
          <w:sz w:val="22"/>
          <w:szCs w:val="22"/>
        </w:rPr>
        <w:t xml:space="preserve">and seasonal water assignment rules to apply in the </w:t>
      </w:r>
      <w:r w:rsidR="0097359B">
        <w:rPr>
          <w:rFonts w:ascii="Arial" w:hAnsi="Arial" w:cs="Arial"/>
          <w:sz w:val="22"/>
          <w:szCs w:val="22"/>
        </w:rPr>
        <w:t xml:space="preserve">Lake Julius and Lake Moondarra </w:t>
      </w:r>
      <w:r w:rsidR="0097359B" w:rsidRPr="00A66A85">
        <w:rPr>
          <w:rFonts w:ascii="Arial" w:hAnsi="Arial" w:cs="Arial"/>
          <w:sz w:val="22"/>
          <w:szCs w:val="22"/>
        </w:rPr>
        <w:t xml:space="preserve">water supply scheme areas; </w:t>
      </w:r>
    </w:p>
    <w:p w:rsidR="0097359B" w:rsidRPr="00A66A85" w:rsidRDefault="0097359B" w:rsidP="0097359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66A85">
        <w:rPr>
          <w:rFonts w:ascii="Arial" w:hAnsi="Arial" w:cs="Arial"/>
          <w:sz w:val="22"/>
          <w:szCs w:val="22"/>
        </w:rPr>
        <w:t xml:space="preserve">better </w:t>
      </w:r>
      <w:r w:rsidR="00B669D9">
        <w:rPr>
          <w:rFonts w:ascii="Arial" w:hAnsi="Arial" w:cs="Arial"/>
          <w:color w:val="000000"/>
          <w:sz w:val="22"/>
          <w:szCs w:val="22"/>
        </w:rPr>
        <w:t>define</w:t>
      </w:r>
      <w:r w:rsidRPr="00A66A85">
        <w:rPr>
          <w:rFonts w:ascii="Arial" w:hAnsi="Arial" w:cs="Arial"/>
          <w:color w:val="000000"/>
          <w:sz w:val="22"/>
          <w:szCs w:val="22"/>
        </w:rPr>
        <w:t xml:space="preserve"> existing water licences with consistency in licensing terms and </w:t>
      </w:r>
      <w:r>
        <w:rPr>
          <w:rFonts w:ascii="Arial" w:hAnsi="Arial" w:cs="Arial"/>
          <w:color w:val="000000"/>
          <w:sz w:val="22"/>
          <w:szCs w:val="22"/>
        </w:rPr>
        <w:t xml:space="preserve">ensures </w:t>
      </w:r>
      <w:r w:rsidRPr="00A66A85">
        <w:rPr>
          <w:rFonts w:ascii="Arial" w:hAnsi="Arial" w:cs="Arial"/>
          <w:color w:val="000000"/>
          <w:sz w:val="22"/>
          <w:szCs w:val="22"/>
        </w:rPr>
        <w:t>that l</w:t>
      </w:r>
      <w:r>
        <w:rPr>
          <w:rFonts w:ascii="Arial" w:hAnsi="Arial" w:cs="Arial"/>
          <w:color w:val="000000"/>
          <w:sz w:val="22"/>
          <w:szCs w:val="22"/>
        </w:rPr>
        <w:t>icences state volumetric limits;</w:t>
      </w:r>
    </w:p>
    <w:p w:rsidR="0097359B" w:rsidRDefault="0097359B" w:rsidP="009735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</w:t>
      </w:r>
      <w:r w:rsidR="00B669D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 limited trading regime for licences in areas of high demand;</w:t>
      </w:r>
    </w:p>
    <w:p w:rsidR="0097359B" w:rsidRPr="00A66A85" w:rsidRDefault="00B669D9" w:rsidP="009735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</w:t>
      </w:r>
      <w:r w:rsidR="0097359B" w:rsidRPr="00A66A85">
        <w:rPr>
          <w:rFonts w:ascii="Arial" w:hAnsi="Arial" w:cs="Arial"/>
          <w:sz w:val="22"/>
          <w:szCs w:val="22"/>
        </w:rPr>
        <w:t xml:space="preserve"> a process for granting or amending entitlements to take overland flow water;</w:t>
      </w:r>
    </w:p>
    <w:p w:rsidR="0097359B" w:rsidRPr="00A66A85" w:rsidRDefault="00B669D9" w:rsidP="0097359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detail</w:t>
      </w:r>
      <w:r w:rsidR="0097359B" w:rsidRPr="00A66A85">
        <w:rPr>
          <w:rFonts w:ascii="Arial" w:hAnsi="Arial" w:cs="Arial"/>
          <w:color w:val="000000"/>
          <w:sz w:val="22"/>
          <w:szCs w:val="22"/>
        </w:rPr>
        <w:t xml:space="preserve"> water and natural ecosystem monitoring and assessment requirements; </w:t>
      </w:r>
      <w:r>
        <w:rPr>
          <w:rFonts w:ascii="Arial" w:hAnsi="Arial" w:cs="Arial"/>
          <w:color w:val="000000"/>
          <w:sz w:val="22"/>
          <w:szCs w:val="22"/>
        </w:rPr>
        <w:t>and</w:t>
      </w:r>
    </w:p>
    <w:p w:rsidR="0097359B" w:rsidRPr="00A66A85" w:rsidRDefault="00B669D9" w:rsidP="009735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</w:t>
      </w:r>
      <w:r w:rsidR="0097359B" w:rsidRPr="00A66A85">
        <w:rPr>
          <w:rFonts w:ascii="Arial" w:hAnsi="Arial" w:cs="Arial"/>
          <w:sz w:val="22"/>
          <w:szCs w:val="22"/>
        </w:rPr>
        <w:t xml:space="preserve"> monitoring and reporting requirements that will be used to assess the effectiveness of the implementation of the water resource plan</w:t>
      </w:r>
      <w:r w:rsidR="0097359B">
        <w:rPr>
          <w:rFonts w:ascii="Arial" w:hAnsi="Arial" w:cs="Arial"/>
          <w:sz w:val="22"/>
          <w:szCs w:val="22"/>
        </w:rPr>
        <w:t>s</w:t>
      </w:r>
      <w:r w:rsidR="0097359B" w:rsidRPr="00A66A85">
        <w:rPr>
          <w:rFonts w:ascii="Arial" w:hAnsi="Arial" w:cs="Arial"/>
          <w:sz w:val="22"/>
          <w:szCs w:val="22"/>
        </w:rPr>
        <w:t xml:space="preserve">. </w:t>
      </w:r>
    </w:p>
    <w:p w:rsidR="0097359B" w:rsidRPr="00CD3C8C" w:rsidRDefault="0097359B" w:rsidP="0097359B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A66A85">
        <w:rPr>
          <w:rFonts w:ascii="Arial" w:hAnsi="Arial" w:cs="Arial"/>
          <w:sz w:val="22"/>
          <w:szCs w:val="22"/>
          <w:u w:val="single"/>
        </w:rPr>
        <w:t>Cabinet noted</w:t>
      </w:r>
      <w:r w:rsidRPr="00A66A85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the Chief Executive of the Department of Environment and Resource Management would seek Governor in Council approval for the final Mitchell Resource Operations Plan and for the fina</w:t>
      </w:r>
      <w:r w:rsidR="00B669D9">
        <w:rPr>
          <w:rFonts w:ascii="Arial" w:hAnsi="Arial" w:cs="Arial"/>
          <w:sz w:val="22"/>
          <w:szCs w:val="22"/>
        </w:rPr>
        <w:t>l Gulf Resource Operations Plan</w:t>
      </w:r>
      <w:r>
        <w:rPr>
          <w:rFonts w:ascii="Arial" w:hAnsi="Arial" w:cs="Arial"/>
          <w:sz w:val="22"/>
          <w:szCs w:val="22"/>
        </w:rPr>
        <w:t>.</w:t>
      </w:r>
    </w:p>
    <w:p w:rsidR="0097359B" w:rsidRDefault="0097359B" w:rsidP="00B669D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359B" w:rsidRPr="00397C2E" w:rsidRDefault="0097359B" w:rsidP="0097359B">
      <w:pPr>
        <w:keepNext/>
        <w:numPr>
          <w:ilvl w:val="0"/>
          <w:numId w:val="1"/>
        </w:numPr>
        <w:tabs>
          <w:tab w:val="clear" w:pos="720"/>
          <w:tab w:val="num" w:pos="360"/>
          <w:tab w:val="num" w:pos="644"/>
        </w:tabs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397C2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7359B" w:rsidRPr="00C11366" w:rsidRDefault="006946A8" w:rsidP="00B669D9">
      <w:pPr>
        <w:numPr>
          <w:ilvl w:val="0"/>
          <w:numId w:val="3"/>
        </w:numPr>
        <w:spacing w:before="120"/>
        <w:ind w:left="709"/>
        <w:rPr>
          <w:rFonts w:ascii="Arial" w:hAnsi="Arial" w:cs="Arial"/>
          <w:sz w:val="22"/>
          <w:szCs w:val="22"/>
        </w:rPr>
      </w:pPr>
      <w:hyperlink r:id="rId7" w:history="1">
        <w:r w:rsidR="00563AAE" w:rsidRPr="0047440F">
          <w:rPr>
            <w:rStyle w:val="Hyperlink"/>
            <w:rFonts w:ascii="Arial" w:hAnsi="Arial" w:cs="Arial"/>
            <w:sz w:val="22"/>
            <w:szCs w:val="22"/>
          </w:rPr>
          <w:t>Gulf Resource Operations Plan</w:t>
        </w:r>
      </w:hyperlink>
      <w:r w:rsidR="0097359B" w:rsidRPr="00C11366">
        <w:rPr>
          <w:rFonts w:ascii="Arial" w:hAnsi="Arial" w:cs="Arial"/>
          <w:sz w:val="22"/>
          <w:szCs w:val="22"/>
        </w:rPr>
        <w:t xml:space="preserve"> </w:t>
      </w:r>
      <w:r w:rsidR="00237343" w:rsidRPr="00C11366">
        <w:rPr>
          <w:rFonts w:ascii="Arial" w:hAnsi="Arial" w:cs="Arial"/>
          <w:sz w:val="22"/>
          <w:szCs w:val="22"/>
        </w:rPr>
        <w:t xml:space="preserve"> </w:t>
      </w:r>
    </w:p>
    <w:p w:rsidR="00237343" w:rsidRPr="00237343" w:rsidRDefault="006946A8" w:rsidP="00B669D9">
      <w:pPr>
        <w:numPr>
          <w:ilvl w:val="0"/>
          <w:numId w:val="3"/>
        </w:numPr>
        <w:spacing w:before="120"/>
        <w:ind w:left="709"/>
      </w:pPr>
      <w:hyperlink r:id="rId8" w:history="1">
        <w:r w:rsidR="0097359B" w:rsidRPr="0047440F">
          <w:rPr>
            <w:rStyle w:val="Hyperlink"/>
            <w:rFonts w:ascii="Arial" w:hAnsi="Arial" w:cs="Arial"/>
            <w:sz w:val="22"/>
            <w:szCs w:val="22"/>
          </w:rPr>
          <w:t>Mitchell Resource Operations Plan</w:t>
        </w:r>
      </w:hyperlink>
      <w:r w:rsidR="0097359B">
        <w:rPr>
          <w:rFonts w:ascii="Arial" w:hAnsi="Arial" w:cs="Arial"/>
          <w:sz w:val="22"/>
          <w:szCs w:val="22"/>
        </w:rPr>
        <w:t xml:space="preserve"> </w:t>
      </w:r>
      <w:r w:rsidR="00237343" w:rsidRPr="00A55597">
        <w:rPr>
          <w:rFonts w:ascii="Arial" w:hAnsi="Arial" w:cs="Arial"/>
          <w:sz w:val="22"/>
          <w:szCs w:val="22"/>
        </w:rPr>
        <w:tab/>
      </w:r>
    </w:p>
    <w:sectPr w:rsidR="00237343" w:rsidRPr="00237343" w:rsidSect="00541C49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F0" w:rsidRDefault="009B3BF0">
      <w:r>
        <w:separator/>
      </w:r>
    </w:p>
  </w:endnote>
  <w:endnote w:type="continuationSeparator" w:id="0">
    <w:p w:rsidR="009B3BF0" w:rsidRDefault="009B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F0" w:rsidRDefault="009B3BF0">
      <w:r>
        <w:separator/>
      </w:r>
    </w:p>
  </w:footnote>
  <w:footnote w:type="continuationSeparator" w:id="0">
    <w:p w:rsidR="009B3BF0" w:rsidRDefault="009B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9B" w:rsidRDefault="009D253E" w:rsidP="00541C4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E9B">
      <w:rPr>
        <w:rFonts w:ascii="Arial" w:hAnsi="Arial" w:cs="Arial"/>
        <w:b/>
        <w:sz w:val="22"/>
        <w:szCs w:val="22"/>
        <w:u w:val="single"/>
      </w:rPr>
      <w:t>Cabinet – October 2009</w:t>
    </w:r>
  </w:p>
  <w:p w:rsidR="00760E9B" w:rsidRDefault="00760E9B" w:rsidP="00541C4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Gulf Resource Operations Plan and Mitchell Resource Operations Plan </w:t>
    </w:r>
  </w:p>
  <w:p w:rsidR="00760E9B" w:rsidRDefault="00760E9B" w:rsidP="00541C4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Energy, and Minister for Trade</w:t>
    </w:r>
  </w:p>
  <w:p w:rsidR="00760E9B" w:rsidRDefault="00760E9B" w:rsidP="00541C4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760E9B" w:rsidRDefault="00760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88C"/>
    <w:multiLevelType w:val="hybridMultilevel"/>
    <w:tmpl w:val="0A2A449E"/>
    <w:lvl w:ilvl="0" w:tplc="C8BC576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effect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0070E6A"/>
    <w:multiLevelType w:val="hybridMultilevel"/>
    <w:tmpl w:val="628ACD76"/>
    <w:lvl w:ilvl="0" w:tplc="C8BC576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effect w:val="none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F970BE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5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effect w:val="none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9B"/>
    <w:rsid w:val="00012267"/>
    <w:rsid w:val="00052FD9"/>
    <w:rsid w:val="000A6412"/>
    <w:rsid w:val="000B0C29"/>
    <w:rsid w:val="000C0B59"/>
    <w:rsid w:val="000C3941"/>
    <w:rsid w:val="00146778"/>
    <w:rsid w:val="00162AD6"/>
    <w:rsid w:val="001649EC"/>
    <w:rsid w:val="001A3EC8"/>
    <w:rsid w:val="001F4232"/>
    <w:rsid w:val="00237343"/>
    <w:rsid w:val="002536AC"/>
    <w:rsid w:val="002E5E68"/>
    <w:rsid w:val="00310F9A"/>
    <w:rsid w:val="00335942"/>
    <w:rsid w:val="003477DD"/>
    <w:rsid w:val="00397C2E"/>
    <w:rsid w:val="003B6510"/>
    <w:rsid w:val="00420778"/>
    <w:rsid w:val="004614E8"/>
    <w:rsid w:val="0047440F"/>
    <w:rsid w:val="0052413E"/>
    <w:rsid w:val="00537455"/>
    <w:rsid w:val="00541C49"/>
    <w:rsid w:val="0055797B"/>
    <w:rsid w:val="00563AAE"/>
    <w:rsid w:val="005B7F41"/>
    <w:rsid w:val="005C3866"/>
    <w:rsid w:val="005D4358"/>
    <w:rsid w:val="005F46C2"/>
    <w:rsid w:val="006350B7"/>
    <w:rsid w:val="0065616D"/>
    <w:rsid w:val="00670511"/>
    <w:rsid w:val="00670C88"/>
    <w:rsid w:val="00677CAF"/>
    <w:rsid w:val="006946A8"/>
    <w:rsid w:val="00696A57"/>
    <w:rsid w:val="006E21C6"/>
    <w:rsid w:val="00760E9B"/>
    <w:rsid w:val="0078181E"/>
    <w:rsid w:val="00791EAB"/>
    <w:rsid w:val="007946F4"/>
    <w:rsid w:val="007D3823"/>
    <w:rsid w:val="00933185"/>
    <w:rsid w:val="0097359B"/>
    <w:rsid w:val="0098755E"/>
    <w:rsid w:val="009B3BF0"/>
    <w:rsid w:val="009D253E"/>
    <w:rsid w:val="009E6225"/>
    <w:rsid w:val="009F07D3"/>
    <w:rsid w:val="00A05AE7"/>
    <w:rsid w:val="00A55597"/>
    <w:rsid w:val="00A6255B"/>
    <w:rsid w:val="00A76241"/>
    <w:rsid w:val="00AB4BD6"/>
    <w:rsid w:val="00AC0A54"/>
    <w:rsid w:val="00AC2182"/>
    <w:rsid w:val="00B669D9"/>
    <w:rsid w:val="00B74AB2"/>
    <w:rsid w:val="00B7772A"/>
    <w:rsid w:val="00B961A4"/>
    <w:rsid w:val="00BF6B33"/>
    <w:rsid w:val="00C11366"/>
    <w:rsid w:val="00C70589"/>
    <w:rsid w:val="00CA43BD"/>
    <w:rsid w:val="00CC1816"/>
    <w:rsid w:val="00CF7746"/>
    <w:rsid w:val="00D258DD"/>
    <w:rsid w:val="00D6391E"/>
    <w:rsid w:val="00E64940"/>
    <w:rsid w:val="00E90D09"/>
    <w:rsid w:val="00EC4725"/>
    <w:rsid w:val="00ED5619"/>
    <w:rsid w:val="00EE3C41"/>
    <w:rsid w:val="00EE46FF"/>
    <w:rsid w:val="00F433D0"/>
    <w:rsid w:val="00F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9B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59B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character" w:styleId="Hyperlink">
    <w:name w:val="Hyperlink"/>
    <w:basedOn w:val="DefaultParagraphFont"/>
    <w:rsid w:val="00237343"/>
    <w:rPr>
      <w:color w:val="0000FF"/>
      <w:u w:val="single"/>
    </w:rPr>
  </w:style>
  <w:style w:type="character" w:styleId="FollowedHyperlink">
    <w:name w:val="FollowedHyperlink"/>
    <w:basedOn w:val="DefaultParagraphFont"/>
    <w:rsid w:val="00237343"/>
    <w:rPr>
      <w:color w:val="800080"/>
      <w:u w:val="single"/>
    </w:rPr>
  </w:style>
  <w:style w:type="paragraph" w:styleId="Footer">
    <w:name w:val="footer"/>
    <w:basedOn w:val="Normal"/>
    <w:link w:val="FooterChar"/>
    <w:rsid w:val="00541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1C49"/>
    <w:rPr>
      <w:lang w:eastAsia="en-US"/>
    </w:rPr>
  </w:style>
  <w:style w:type="paragraph" w:styleId="BalloonText">
    <w:name w:val="Balloon Text"/>
    <w:basedOn w:val="Normal"/>
    <w:link w:val="BalloonTextChar"/>
    <w:rsid w:val="0076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mitchell_ro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gulf-r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1671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>https://www.cabinet.qld.gov.au/documents/2009/Oct/Gulf Resource Op Plan/</HyperlinkBase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Attachments/mitchell_rop.pdf</vt:lpwstr>
      </vt:variant>
      <vt:variant>
        <vt:lpwstr/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Attachments/gulf-rop.pdf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2010-12-15T09:09:00Z</cp:lastPrinted>
  <dcterms:created xsi:type="dcterms:W3CDTF">2017-10-24T22:03:00Z</dcterms:created>
  <dcterms:modified xsi:type="dcterms:W3CDTF">2018-03-06T00:59:00Z</dcterms:modified>
  <cp:category>Water,Planning,Regional</cp:category>
</cp:coreProperties>
</file>